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07D4" w14:textId="77777777" w:rsidR="003B604D" w:rsidRPr="0001279C" w:rsidRDefault="003B604D" w:rsidP="003B604D">
      <w:pPr>
        <w:pStyle w:val="Heading4"/>
        <w:rPr>
          <w:b w:val="0"/>
          <w:bCs/>
        </w:rPr>
      </w:pPr>
      <w:r>
        <w:t xml:space="preserve">The </w:t>
      </w:r>
      <w:r w:rsidRPr="00D34653">
        <w:rPr>
          <w:u w:val="single"/>
        </w:rPr>
        <w:t>process</w:t>
      </w:r>
      <w:r>
        <w:t xml:space="preserve"> </w:t>
      </w:r>
      <w:r w:rsidRPr="00D34653">
        <w:t>of bar</w:t>
      </w:r>
      <w:r>
        <w:t>gaining is key.</w:t>
      </w:r>
    </w:p>
    <w:p w14:paraId="2BCA1A45" w14:textId="77777777" w:rsidR="003B604D" w:rsidRDefault="003B604D" w:rsidP="003B604D">
      <w:r>
        <w:t xml:space="preserve">Randall </w:t>
      </w:r>
      <w:r w:rsidRPr="008223D2">
        <w:rPr>
          <w:rStyle w:val="Style13ptBold"/>
        </w:rPr>
        <w:t>Davis 12</w:t>
      </w:r>
      <w:r>
        <w:t xml:space="preserve">. Assistant professor of political science at Miami University, Ph.D. in artificial intelligence from Stanford University. "Unionization and Work Attitudes: How Union Commitment Influences Public Sector Job Satisfaction." </w:t>
      </w:r>
      <w:r w:rsidRPr="008223D2">
        <w:rPr>
          <w:i/>
          <w:iCs/>
        </w:rPr>
        <w:t>Public Administration Review</w:t>
      </w:r>
      <w:r>
        <w:t>, 73(1), 80-81. Initialism expanded for readability.</w:t>
      </w:r>
    </w:p>
    <w:p w14:paraId="035EA322" w14:textId="77777777" w:rsidR="003B604D" w:rsidRPr="003D5491" w:rsidRDefault="003B604D" w:rsidP="003B604D">
      <w:pPr>
        <w:rPr>
          <w:sz w:val="16"/>
        </w:rPr>
      </w:pPr>
      <w:r w:rsidRPr="003D5491">
        <w:rPr>
          <w:sz w:val="16"/>
        </w:rPr>
        <w:t>Discussion and Conclusions</w:t>
      </w:r>
    </w:p>
    <w:p w14:paraId="60A50F90" w14:textId="77777777" w:rsidR="003B604D" w:rsidRPr="003D5491" w:rsidRDefault="003B604D" w:rsidP="003B604D">
      <w:pPr>
        <w:rPr>
          <w:sz w:val="16"/>
        </w:rPr>
      </w:pPr>
      <w:r w:rsidRPr="003D5491">
        <w:rPr>
          <w:sz w:val="16"/>
        </w:rPr>
        <w:t xml:space="preserve">The labor relations literature frequently asserts that unionization contributes to job dissatisfaction (Barling, Fullagar, and Kelloway 1992), but these studies focus primarily on private sector unions. This article has examined union members’ job satisfaction in the public sector. The findings presented here suggest that </w:t>
      </w:r>
      <w:r w:rsidRPr="008223D2">
        <w:rPr>
          <w:rStyle w:val="StyleUnderline"/>
        </w:rPr>
        <w:t xml:space="preserve">public sector </w:t>
      </w:r>
      <w:r w:rsidRPr="003D5491">
        <w:rPr>
          <w:rStyle w:val="StyleUnderline"/>
        </w:rPr>
        <w:t>unionization</w:t>
      </w:r>
      <w:r w:rsidRPr="008223D2">
        <w:rPr>
          <w:rStyle w:val="StyleUnderline"/>
        </w:rPr>
        <w:t xml:space="preserve"> can</w:t>
      </w:r>
      <w:r w:rsidRPr="003D5491">
        <w:rPr>
          <w:sz w:val="16"/>
        </w:rPr>
        <w:t xml:space="preserve"> </w:t>
      </w:r>
      <w:r w:rsidRPr="008223D2">
        <w:rPr>
          <w:rStyle w:val="Emphasis"/>
        </w:rPr>
        <w:t>increase</w:t>
      </w:r>
      <w:r w:rsidRPr="003D5491">
        <w:rPr>
          <w:sz w:val="16"/>
        </w:rPr>
        <w:t xml:space="preserve"> </w:t>
      </w:r>
      <w:r w:rsidRPr="008223D2">
        <w:rPr>
          <w:rStyle w:val="StyleUnderline"/>
        </w:rPr>
        <w:t>members’</w:t>
      </w:r>
      <w:r w:rsidRPr="003D5491">
        <w:rPr>
          <w:sz w:val="16"/>
        </w:rPr>
        <w:t xml:space="preserve"> job </w:t>
      </w:r>
      <w:r w:rsidRPr="008223D2">
        <w:rPr>
          <w:rStyle w:val="Emphasis"/>
        </w:rPr>
        <w:t>satisfaction</w:t>
      </w:r>
      <w:r w:rsidRPr="003D5491">
        <w:rPr>
          <w:sz w:val="16"/>
        </w:rPr>
        <w:t xml:space="preserve"> by favorably altering the work environment. Perhaps the most interesting result concerns the positive relationship between union commitment and job satisfaction. Although this finding is surprising in light of substantial evidence pointing to unionization as a source of member dissatisfaction, </w:t>
      </w:r>
      <w:r w:rsidRPr="003D5491">
        <w:rPr>
          <w:rStyle w:val="StyleUnderline"/>
          <w:highlight w:val="cyan"/>
        </w:rPr>
        <w:t>unions are</w:t>
      </w:r>
      <w:r w:rsidRPr="003D5491">
        <w:rPr>
          <w:sz w:val="16"/>
          <w:highlight w:val="cyan"/>
        </w:rPr>
        <w:t xml:space="preserve"> </w:t>
      </w:r>
      <w:r w:rsidRPr="003D5491">
        <w:rPr>
          <w:rStyle w:val="Emphasis"/>
          <w:highlight w:val="cyan"/>
        </w:rPr>
        <w:t>integral</w:t>
      </w:r>
      <w:r w:rsidRPr="003D5491">
        <w:rPr>
          <w:sz w:val="16"/>
          <w:highlight w:val="cyan"/>
        </w:rPr>
        <w:t xml:space="preserve"> </w:t>
      </w:r>
      <w:r w:rsidRPr="003D5491">
        <w:rPr>
          <w:rStyle w:val="StyleUnderline"/>
          <w:highlight w:val="cyan"/>
        </w:rPr>
        <w:t>in</w:t>
      </w:r>
      <w:r w:rsidRPr="003D5491">
        <w:rPr>
          <w:sz w:val="16"/>
        </w:rPr>
        <w:t xml:space="preserve"> minimizing wage inequality and </w:t>
      </w:r>
      <w:r w:rsidRPr="003D5491">
        <w:rPr>
          <w:rStyle w:val="StyleUnderline"/>
          <w:highlight w:val="cyan"/>
        </w:rPr>
        <w:t>increasing</w:t>
      </w:r>
      <w:r w:rsidRPr="003D5491">
        <w:rPr>
          <w:sz w:val="16"/>
          <w:highlight w:val="cyan"/>
        </w:rPr>
        <w:t xml:space="preserve"> </w:t>
      </w:r>
      <w:r w:rsidRPr="003D5491">
        <w:rPr>
          <w:rStyle w:val="Emphasis"/>
          <w:highlight w:val="cyan"/>
        </w:rPr>
        <w:t>autonomy</w:t>
      </w:r>
      <w:r w:rsidRPr="003D5491">
        <w:rPr>
          <w:sz w:val="16"/>
        </w:rPr>
        <w:t xml:space="preserve"> </w:t>
      </w:r>
      <w:r w:rsidRPr="008223D2">
        <w:rPr>
          <w:rStyle w:val="StyleUnderline"/>
        </w:rPr>
        <w:t>in the</w:t>
      </w:r>
      <w:r w:rsidRPr="003D5491">
        <w:rPr>
          <w:sz w:val="16"/>
        </w:rPr>
        <w:t xml:space="preserve"> </w:t>
      </w:r>
      <w:r w:rsidRPr="008223D2">
        <w:rPr>
          <w:rStyle w:val="Emphasis"/>
        </w:rPr>
        <w:t>work organization</w:t>
      </w:r>
      <w:r w:rsidRPr="003D5491">
        <w:rPr>
          <w:sz w:val="16"/>
        </w:rPr>
        <w:t xml:space="preserve"> (Belman, Heywood, and Lund 1997; Kearney 2003; Kearney and Morgan 1980; Llorens 2008). This research is consistent with arguments that </w:t>
      </w:r>
      <w:r w:rsidRPr="003D5491">
        <w:rPr>
          <w:rStyle w:val="StyleUnderline"/>
          <w:highlight w:val="cyan"/>
        </w:rPr>
        <w:t>unions</w:t>
      </w:r>
      <w:r w:rsidRPr="003D5491">
        <w:rPr>
          <w:sz w:val="16"/>
        </w:rPr>
        <w:t xml:space="preserve"> can increase members’ satisfaction by enabling them to achieve preferred values, and it supports the assertion that </w:t>
      </w:r>
      <w:r w:rsidRPr="008223D2">
        <w:rPr>
          <w:rStyle w:val="StyleUnderline"/>
        </w:rPr>
        <w:t xml:space="preserve">favorably </w:t>
      </w:r>
      <w:r w:rsidRPr="003D5491">
        <w:rPr>
          <w:rStyle w:val="StyleUnderline"/>
          <w:highlight w:val="cyan"/>
        </w:rPr>
        <w:t>alter</w:t>
      </w:r>
      <w:r w:rsidRPr="003D5491">
        <w:rPr>
          <w:sz w:val="16"/>
        </w:rPr>
        <w:t xml:space="preserve">ing </w:t>
      </w:r>
      <w:r w:rsidRPr="003D5491">
        <w:rPr>
          <w:rStyle w:val="Emphasis"/>
          <w:highlight w:val="cyan"/>
        </w:rPr>
        <w:t>perceptions</w:t>
      </w:r>
      <w:r w:rsidRPr="003D5491">
        <w:rPr>
          <w:sz w:val="16"/>
          <w:highlight w:val="cyan"/>
        </w:rPr>
        <w:t xml:space="preserve"> </w:t>
      </w:r>
      <w:r w:rsidRPr="003D5491">
        <w:rPr>
          <w:rStyle w:val="StyleUnderline"/>
          <w:highlight w:val="cyan"/>
        </w:rPr>
        <w:t>of</w:t>
      </w:r>
      <w:r w:rsidRPr="008223D2">
        <w:rPr>
          <w:rStyle w:val="StyleUnderline"/>
        </w:rPr>
        <w:t xml:space="preserve"> the</w:t>
      </w:r>
      <w:r w:rsidRPr="003D5491">
        <w:rPr>
          <w:sz w:val="16"/>
        </w:rPr>
        <w:t xml:space="preserve"> </w:t>
      </w:r>
      <w:r w:rsidRPr="003D5491">
        <w:rPr>
          <w:rStyle w:val="Emphasis"/>
          <w:highlight w:val="cyan"/>
        </w:rPr>
        <w:t>work</w:t>
      </w:r>
      <w:r w:rsidRPr="008223D2">
        <w:rPr>
          <w:rStyle w:val="Emphasis"/>
        </w:rPr>
        <w:t xml:space="preserve"> environment</w:t>
      </w:r>
      <w:r w:rsidRPr="003D5491">
        <w:rPr>
          <w:sz w:val="16"/>
        </w:rPr>
        <w:t xml:space="preserve"> serves as a mechanism by which unions indirectly increase job satisfaction.</w:t>
      </w:r>
    </w:p>
    <w:p w14:paraId="3752FAB4" w14:textId="77777777" w:rsidR="003B604D" w:rsidRPr="003D5491" w:rsidRDefault="003B604D" w:rsidP="003B604D">
      <w:pPr>
        <w:rPr>
          <w:sz w:val="16"/>
        </w:rPr>
      </w:pPr>
      <w:r w:rsidRPr="003D5491">
        <w:rPr>
          <w:sz w:val="16"/>
        </w:rPr>
        <w:t xml:space="preserve">The major element of the work context examined here is perceived red tape. Not surprisingly, </w:t>
      </w:r>
      <w:r w:rsidRPr="0048709C">
        <w:rPr>
          <w:rStyle w:val="StyleUnderline"/>
        </w:rPr>
        <w:t>members who are</w:t>
      </w:r>
      <w:r w:rsidRPr="003D5491">
        <w:rPr>
          <w:sz w:val="16"/>
        </w:rPr>
        <w:t xml:space="preserve"> more </w:t>
      </w:r>
      <w:r w:rsidRPr="0048709C">
        <w:rPr>
          <w:rStyle w:val="Emphasis"/>
        </w:rPr>
        <w:t>committed</w:t>
      </w:r>
      <w:r w:rsidRPr="003D5491">
        <w:rPr>
          <w:sz w:val="16"/>
        </w:rPr>
        <w:t xml:space="preserve"> </w:t>
      </w:r>
      <w:r w:rsidRPr="0048709C">
        <w:rPr>
          <w:rStyle w:val="StyleUnderline"/>
        </w:rPr>
        <w:t>to unions perceive</w:t>
      </w:r>
      <w:r w:rsidRPr="003D5491">
        <w:rPr>
          <w:sz w:val="16"/>
        </w:rPr>
        <w:t xml:space="preserve"> </w:t>
      </w:r>
      <w:r w:rsidRPr="0048709C">
        <w:rPr>
          <w:rStyle w:val="Emphasis"/>
        </w:rPr>
        <w:t>less</w:t>
      </w:r>
      <w:r w:rsidRPr="003D5491">
        <w:rPr>
          <w:sz w:val="16"/>
        </w:rPr>
        <w:t xml:space="preserve"> </w:t>
      </w:r>
      <w:r w:rsidRPr="0048709C">
        <w:rPr>
          <w:rStyle w:val="StyleUnderline"/>
        </w:rPr>
        <w:t>red tape</w:t>
      </w:r>
      <w:r w:rsidRPr="003D5491">
        <w:rPr>
          <w:sz w:val="16"/>
        </w:rPr>
        <w:t xml:space="preserve">. Although formal organizational rules are more numerous in unionized environments (Freeman and Medoff 1984; Gallagher 1983), committed union members tend to perceive these rules more favorably. </w:t>
      </w:r>
      <w:r w:rsidRPr="0048709C">
        <w:rPr>
          <w:rStyle w:val="StyleUnderline"/>
        </w:rPr>
        <w:t>Union members</w:t>
      </w:r>
      <w:r w:rsidRPr="003D5491">
        <w:rPr>
          <w:sz w:val="16"/>
        </w:rPr>
        <w:t xml:space="preserve"> may </w:t>
      </w:r>
      <w:r w:rsidRPr="0048709C">
        <w:rPr>
          <w:rStyle w:val="StyleUnderline"/>
        </w:rPr>
        <w:t>assess rules</w:t>
      </w:r>
      <w:r w:rsidRPr="003D5491">
        <w:rPr>
          <w:sz w:val="16"/>
        </w:rPr>
        <w:t xml:space="preserve"> </w:t>
      </w:r>
      <w:r w:rsidRPr="0048709C">
        <w:rPr>
          <w:rStyle w:val="Emphasis"/>
        </w:rPr>
        <w:t>positively</w:t>
      </w:r>
      <w:r w:rsidRPr="003D5491">
        <w:rPr>
          <w:sz w:val="16"/>
        </w:rPr>
        <w:t xml:space="preserve"> </w:t>
      </w:r>
      <w:r w:rsidRPr="0048709C">
        <w:rPr>
          <w:rStyle w:val="StyleUnderline"/>
        </w:rPr>
        <w:t>because</w:t>
      </w:r>
      <w:r w:rsidRPr="003D5491">
        <w:rPr>
          <w:sz w:val="16"/>
        </w:rPr>
        <w:t xml:space="preserve"> </w:t>
      </w:r>
      <w:r w:rsidRPr="0048709C">
        <w:rPr>
          <w:rStyle w:val="Emphasis"/>
        </w:rPr>
        <w:t>c</w:t>
      </w:r>
      <w:r w:rsidRPr="003D5491">
        <w:rPr>
          <w:sz w:val="16"/>
        </w:rPr>
        <w:t xml:space="preserve">ollective </w:t>
      </w:r>
      <w:r w:rsidRPr="0048709C">
        <w:rPr>
          <w:rStyle w:val="Emphasis"/>
        </w:rPr>
        <w:t>b</w:t>
      </w:r>
      <w:r w:rsidRPr="003D5491">
        <w:rPr>
          <w:sz w:val="16"/>
        </w:rPr>
        <w:t xml:space="preserve">argaining </w:t>
      </w:r>
      <w:r w:rsidRPr="0048709C">
        <w:rPr>
          <w:rStyle w:val="Emphasis"/>
        </w:rPr>
        <w:t>a</w:t>
      </w:r>
      <w:r w:rsidRPr="003D5491">
        <w:rPr>
          <w:sz w:val="16"/>
        </w:rPr>
        <w:t>greement</w:t>
      </w:r>
      <w:r w:rsidRPr="0048709C">
        <w:rPr>
          <w:rStyle w:val="Emphasis"/>
        </w:rPr>
        <w:t>s</w:t>
      </w:r>
      <w:r w:rsidRPr="003D5491">
        <w:rPr>
          <w:sz w:val="16"/>
        </w:rPr>
        <w:t xml:space="preserve"> </w:t>
      </w:r>
      <w:r w:rsidRPr="0048709C">
        <w:rPr>
          <w:rStyle w:val="StyleUnderline"/>
        </w:rPr>
        <w:t>establish</w:t>
      </w:r>
      <w:r w:rsidRPr="003D5491">
        <w:rPr>
          <w:sz w:val="16"/>
        </w:rPr>
        <w:t xml:space="preserve"> rule-oriented </w:t>
      </w:r>
      <w:r w:rsidRPr="0048709C">
        <w:rPr>
          <w:rStyle w:val="Emphasis"/>
        </w:rPr>
        <w:t>protections</w:t>
      </w:r>
      <w:r w:rsidRPr="003D5491">
        <w:rPr>
          <w:sz w:val="16"/>
        </w:rPr>
        <w:t xml:space="preserve"> </w:t>
      </w:r>
      <w:r w:rsidRPr="0048709C">
        <w:rPr>
          <w:rStyle w:val="StyleUnderline"/>
        </w:rPr>
        <w:t>of</w:t>
      </w:r>
      <w:r w:rsidRPr="00942571">
        <w:rPr>
          <w:sz w:val="16"/>
        </w:rPr>
        <w:t xml:space="preserve"> employee </w:t>
      </w:r>
      <w:r w:rsidRPr="00942571">
        <w:rPr>
          <w:rStyle w:val="Emphasis"/>
        </w:rPr>
        <w:t>rights</w:t>
      </w:r>
      <w:r w:rsidRPr="003D5491">
        <w:rPr>
          <w:sz w:val="16"/>
        </w:rPr>
        <w:t xml:space="preserve">, which favorably alter value trade-offs perceived by union members. One caveat is in order, because this article examines union member perceptions of organizational rules broadly construed. There is little reason to expect that union members begin from the assumption that collective bargaining rules amount to red tape, but the general red tape scale measures reactions to burdensome rules broadly construed. Therefore, </w:t>
      </w:r>
      <w:r w:rsidRPr="0048709C">
        <w:rPr>
          <w:rStyle w:val="StyleUnderline"/>
        </w:rPr>
        <w:t>the</w:t>
      </w:r>
      <w:r w:rsidRPr="003D5491">
        <w:rPr>
          <w:sz w:val="16"/>
        </w:rPr>
        <w:t xml:space="preserve"> </w:t>
      </w:r>
      <w:r w:rsidRPr="0048709C">
        <w:rPr>
          <w:rStyle w:val="Emphasis"/>
        </w:rPr>
        <w:t>findings</w:t>
      </w:r>
      <w:r w:rsidRPr="003D5491">
        <w:rPr>
          <w:sz w:val="16"/>
        </w:rPr>
        <w:t xml:space="preserve"> </w:t>
      </w:r>
      <w:r w:rsidRPr="0048709C">
        <w:rPr>
          <w:rStyle w:val="StyleUnderline"/>
        </w:rPr>
        <w:t>suggest that</w:t>
      </w:r>
      <w:r w:rsidRPr="003D5491">
        <w:rPr>
          <w:sz w:val="16"/>
        </w:rPr>
        <w:t xml:space="preserve"> committed </w:t>
      </w:r>
      <w:r w:rsidRPr="0048709C">
        <w:rPr>
          <w:rStyle w:val="Emphasis"/>
        </w:rPr>
        <w:t>union members</w:t>
      </w:r>
      <w:r w:rsidRPr="003D5491">
        <w:rPr>
          <w:sz w:val="16"/>
        </w:rPr>
        <w:t xml:space="preserve">, compared to noncommitted members, </w:t>
      </w:r>
      <w:r w:rsidRPr="0048709C">
        <w:rPr>
          <w:rStyle w:val="StyleUnderline"/>
        </w:rPr>
        <w:t>feel</w:t>
      </w:r>
      <w:r w:rsidRPr="003D5491">
        <w:rPr>
          <w:sz w:val="16"/>
        </w:rPr>
        <w:t xml:space="preserve"> </w:t>
      </w:r>
      <w:r w:rsidRPr="0048709C">
        <w:rPr>
          <w:rStyle w:val="Emphasis"/>
        </w:rPr>
        <w:t>differently</w:t>
      </w:r>
      <w:r w:rsidRPr="003D5491">
        <w:rPr>
          <w:sz w:val="16"/>
        </w:rPr>
        <w:t xml:space="preserve"> </w:t>
      </w:r>
      <w:r w:rsidRPr="0048709C">
        <w:rPr>
          <w:rStyle w:val="StyleUnderline"/>
        </w:rPr>
        <w:t>about organization wide</w:t>
      </w:r>
      <w:r w:rsidRPr="003D5491">
        <w:rPr>
          <w:sz w:val="16"/>
        </w:rPr>
        <w:t xml:space="preserve"> </w:t>
      </w:r>
      <w:r w:rsidRPr="0048709C">
        <w:rPr>
          <w:rStyle w:val="Emphasis"/>
        </w:rPr>
        <w:t>red tape</w:t>
      </w:r>
      <w:r w:rsidRPr="003D5491">
        <w:rPr>
          <w:sz w:val="16"/>
        </w:rPr>
        <w:t>. All union members might be expected to view those rules associated with the labor contract even more favorably. That hypothesis cannot be tested here, but it would be valuable to determine whether these fi ndings are a product of using the general red tape item rather than a human resource red tape scale.</w:t>
      </w:r>
    </w:p>
    <w:p w14:paraId="05689ABE" w14:textId="77777777" w:rsidR="003B604D" w:rsidRPr="003D5491" w:rsidRDefault="003B604D" w:rsidP="003B604D">
      <w:pPr>
        <w:rPr>
          <w:sz w:val="16"/>
        </w:rPr>
      </w:pPr>
      <w:r w:rsidRPr="003D5491">
        <w:rPr>
          <w:sz w:val="16"/>
        </w:rPr>
        <w:t xml:space="preserve">Second, </w:t>
      </w:r>
      <w:r w:rsidRPr="003D5491">
        <w:rPr>
          <w:rStyle w:val="StyleUnderline"/>
          <w:highlight w:val="cyan"/>
        </w:rPr>
        <w:t>unions</w:t>
      </w:r>
      <w:r w:rsidRPr="0048709C">
        <w:rPr>
          <w:rStyle w:val="StyleUnderline"/>
        </w:rPr>
        <w:t xml:space="preserve"> appear to be</w:t>
      </w:r>
      <w:r w:rsidRPr="003D5491">
        <w:rPr>
          <w:sz w:val="16"/>
        </w:rPr>
        <w:t xml:space="preserve"> </w:t>
      </w:r>
      <w:r w:rsidRPr="0048709C">
        <w:rPr>
          <w:rStyle w:val="Emphasis"/>
        </w:rPr>
        <w:t>social institutions</w:t>
      </w:r>
      <w:r w:rsidRPr="003D5491">
        <w:rPr>
          <w:sz w:val="16"/>
        </w:rPr>
        <w:t xml:space="preserve"> </w:t>
      </w:r>
      <w:r w:rsidRPr="0048709C">
        <w:rPr>
          <w:rStyle w:val="StyleUnderline"/>
        </w:rPr>
        <w:t xml:space="preserve">that </w:t>
      </w:r>
      <w:r w:rsidRPr="003D5491">
        <w:rPr>
          <w:rStyle w:val="StyleUnderline"/>
          <w:highlight w:val="cyan"/>
        </w:rPr>
        <w:t>communicate</w:t>
      </w:r>
      <w:r w:rsidRPr="003D5491">
        <w:rPr>
          <w:sz w:val="16"/>
        </w:rPr>
        <w:t xml:space="preserve"> PSM [</w:t>
      </w:r>
      <w:r w:rsidRPr="003D5491">
        <w:rPr>
          <w:rStyle w:val="Emphasis"/>
        </w:rPr>
        <w:t xml:space="preserve">public service </w:t>
      </w:r>
      <w:r w:rsidRPr="003D5491">
        <w:rPr>
          <w:rStyle w:val="Emphasis"/>
          <w:highlight w:val="cyan"/>
        </w:rPr>
        <w:t>motivation</w:t>
      </w:r>
      <w:r w:rsidRPr="003D5491">
        <w:rPr>
          <w:sz w:val="16"/>
        </w:rPr>
        <w:t xml:space="preserve">], and commitment to the union seems to increase PSM. Although </w:t>
      </w:r>
      <w:r w:rsidRPr="008C5180">
        <w:rPr>
          <w:rStyle w:val="StyleUnderline"/>
        </w:rPr>
        <w:t>this finding</w:t>
      </w:r>
      <w:r w:rsidRPr="003D5491">
        <w:rPr>
          <w:sz w:val="16"/>
        </w:rPr>
        <w:t xml:space="preserve"> </w:t>
      </w:r>
      <w:r w:rsidRPr="008C5180">
        <w:rPr>
          <w:rStyle w:val="Emphasis"/>
        </w:rPr>
        <w:t>contradicts</w:t>
      </w:r>
      <w:r w:rsidRPr="003D5491">
        <w:rPr>
          <w:sz w:val="16"/>
        </w:rPr>
        <w:t xml:space="preserve"> </w:t>
      </w:r>
      <w:r w:rsidRPr="008C5180">
        <w:rPr>
          <w:rStyle w:val="StyleUnderline"/>
        </w:rPr>
        <w:t xml:space="preserve">assertions that </w:t>
      </w:r>
      <w:r w:rsidRPr="0001279C">
        <w:rPr>
          <w:rStyle w:val="StyleUnderline"/>
        </w:rPr>
        <w:t>unions</w:t>
      </w:r>
      <w:r w:rsidRPr="008C5180">
        <w:rPr>
          <w:rStyle w:val="StyleUnderline"/>
        </w:rPr>
        <w:t xml:space="preserve"> are</w:t>
      </w:r>
      <w:r w:rsidRPr="003D5491">
        <w:rPr>
          <w:sz w:val="16"/>
        </w:rPr>
        <w:t xml:space="preserve"> primarily </w:t>
      </w:r>
      <w:r w:rsidRPr="003D5491">
        <w:rPr>
          <w:rStyle w:val="StyleUnderline"/>
        </w:rPr>
        <w:t>self-interested</w:t>
      </w:r>
      <w:r w:rsidRPr="003D5491">
        <w:rPr>
          <w:sz w:val="16"/>
        </w:rPr>
        <w:t xml:space="preserve"> (Moe 2006, 2009), it is understandable from the perspective of organizational psychologists exploring the causes of union commitment. Research suggests that commitment to </w:t>
      </w:r>
      <w:r w:rsidRPr="0001279C">
        <w:rPr>
          <w:rStyle w:val="StyleUnderline"/>
          <w:highlight w:val="cyan"/>
        </w:rPr>
        <w:t>the union is</w:t>
      </w:r>
      <w:r w:rsidRPr="0001279C">
        <w:rPr>
          <w:sz w:val="16"/>
          <w:highlight w:val="cyan"/>
        </w:rPr>
        <w:t xml:space="preserve"> </w:t>
      </w:r>
      <w:r w:rsidRPr="0001279C">
        <w:rPr>
          <w:rStyle w:val="Emphasis"/>
          <w:highlight w:val="cyan"/>
        </w:rPr>
        <w:t>associated</w:t>
      </w:r>
      <w:r w:rsidRPr="0001279C">
        <w:rPr>
          <w:sz w:val="16"/>
          <w:highlight w:val="cyan"/>
        </w:rPr>
        <w:t xml:space="preserve"> </w:t>
      </w:r>
      <w:r w:rsidRPr="0001279C">
        <w:rPr>
          <w:rStyle w:val="StyleUnderline"/>
          <w:highlight w:val="cyan"/>
        </w:rPr>
        <w:t>with</w:t>
      </w:r>
      <w:r w:rsidRPr="003D5491">
        <w:rPr>
          <w:sz w:val="16"/>
        </w:rPr>
        <w:t xml:space="preserve"> feelings of loyalty to the labor union, </w:t>
      </w:r>
      <w:r w:rsidRPr="0001279C">
        <w:rPr>
          <w:rStyle w:val="Emphasis"/>
          <w:highlight w:val="cyan"/>
        </w:rPr>
        <w:t>willingness</w:t>
      </w:r>
      <w:r w:rsidRPr="0001279C">
        <w:rPr>
          <w:sz w:val="16"/>
          <w:highlight w:val="cyan"/>
        </w:rPr>
        <w:t xml:space="preserve"> </w:t>
      </w:r>
      <w:r w:rsidRPr="0001279C">
        <w:rPr>
          <w:rStyle w:val="StyleUnderline"/>
          <w:highlight w:val="cyan"/>
        </w:rPr>
        <w:t>to</w:t>
      </w:r>
      <w:r w:rsidRPr="003D5491">
        <w:rPr>
          <w:sz w:val="16"/>
        </w:rPr>
        <w:t xml:space="preserve"> personally </w:t>
      </w:r>
      <w:r w:rsidRPr="0001279C">
        <w:rPr>
          <w:rStyle w:val="Emphasis"/>
          <w:highlight w:val="cyan"/>
        </w:rPr>
        <w:t>sacrifice</w:t>
      </w:r>
      <w:r w:rsidRPr="003D5491">
        <w:rPr>
          <w:sz w:val="16"/>
        </w:rPr>
        <w:t xml:space="preserve"> </w:t>
      </w:r>
      <w:r w:rsidRPr="008C5180">
        <w:rPr>
          <w:rStyle w:val="StyleUnderline"/>
        </w:rPr>
        <w:t>for</w:t>
      </w:r>
      <w:r w:rsidRPr="003D5491">
        <w:rPr>
          <w:sz w:val="16"/>
        </w:rPr>
        <w:t xml:space="preserve"> </w:t>
      </w:r>
      <w:r w:rsidRPr="008C5180">
        <w:rPr>
          <w:rStyle w:val="Emphasis"/>
        </w:rPr>
        <w:t>other</w:t>
      </w:r>
      <w:r w:rsidRPr="003D5491">
        <w:rPr>
          <w:sz w:val="16"/>
        </w:rPr>
        <w:t xml:space="preserve"> </w:t>
      </w:r>
      <w:r w:rsidRPr="008C5180">
        <w:rPr>
          <w:rStyle w:val="StyleUnderline"/>
        </w:rPr>
        <w:t>union members</w:t>
      </w:r>
      <w:r w:rsidRPr="003D5491">
        <w:rPr>
          <w:sz w:val="16"/>
        </w:rPr>
        <w:t xml:space="preserve">, </w:t>
      </w:r>
      <w:r w:rsidRPr="0001279C">
        <w:rPr>
          <w:rStyle w:val="StyleUnderline"/>
          <w:highlight w:val="cyan"/>
        </w:rPr>
        <w:t>and</w:t>
      </w:r>
      <w:r w:rsidRPr="008C5180">
        <w:rPr>
          <w:rStyle w:val="StyleUnderline"/>
        </w:rPr>
        <w:t xml:space="preserve"> a sense of</w:t>
      </w:r>
      <w:r w:rsidRPr="003D5491">
        <w:rPr>
          <w:sz w:val="16"/>
        </w:rPr>
        <w:t xml:space="preserve"> </w:t>
      </w:r>
      <w:r w:rsidRPr="0001279C">
        <w:rPr>
          <w:rStyle w:val="Emphasis"/>
          <w:highlight w:val="cyan"/>
        </w:rPr>
        <w:t>responsibility</w:t>
      </w:r>
      <w:r w:rsidRPr="0001279C">
        <w:rPr>
          <w:sz w:val="16"/>
          <w:highlight w:val="cyan"/>
        </w:rPr>
        <w:t xml:space="preserve"> </w:t>
      </w:r>
      <w:r w:rsidRPr="0001279C">
        <w:rPr>
          <w:rStyle w:val="StyleUnderline"/>
          <w:highlight w:val="cyan"/>
        </w:rPr>
        <w:t xml:space="preserve">to </w:t>
      </w:r>
      <w:r w:rsidRPr="00FF0A90">
        <w:rPr>
          <w:rStyle w:val="StyleUnderline"/>
          <w:highlight w:val="cyan"/>
        </w:rPr>
        <w:t>advance the</w:t>
      </w:r>
      <w:r w:rsidRPr="00FF0A90">
        <w:rPr>
          <w:sz w:val="16"/>
          <w:highlight w:val="cyan"/>
        </w:rPr>
        <w:t xml:space="preserve"> </w:t>
      </w:r>
      <w:r w:rsidRPr="00FF0A90">
        <w:rPr>
          <w:rStyle w:val="Emphasis"/>
          <w:highlight w:val="cyan"/>
        </w:rPr>
        <w:t xml:space="preserve">collective </w:t>
      </w:r>
      <w:r w:rsidRPr="0001279C">
        <w:rPr>
          <w:rStyle w:val="Emphasis"/>
          <w:highlight w:val="cyan"/>
        </w:rPr>
        <w:t>good</w:t>
      </w:r>
      <w:r w:rsidRPr="003D5491">
        <w:rPr>
          <w:sz w:val="16"/>
        </w:rPr>
        <w:t xml:space="preserve"> of the union (Kelloway, Catano, and Southwell 1992). Union commitment and PSM provide similar frameworks from which employees approach the evaluation of work elements. Although many of </w:t>
      </w:r>
      <w:r w:rsidRPr="008C5180">
        <w:rPr>
          <w:rStyle w:val="StyleUnderline"/>
        </w:rPr>
        <w:t>the</w:t>
      </w:r>
      <w:r w:rsidRPr="003D5491">
        <w:rPr>
          <w:sz w:val="16"/>
        </w:rPr>
        <w:t xml:space="preserve"> </w:t>
      </w:r>
      <w:r w:rsidRPr="0001279C">
        <w:rPr>
          <w:rStyle w:val="Emphasis"/>
          <w:highlight w:val="cyan"/>
        </w:rPr>
        <w:t>emotions</w:t>
      </w:r>
      <w:r w:rsidRPr="003D5491">
        <w:rPr>
          <w:sz w:val="16"/>
        </w:rPr>
        <w:t xml:space="preserve"> </w:t>
      </w:r>
      <w:r w:rsidRPr="008C5180">
        <w:rPr>
          <w:rStyle w:val="StyleUnderline"/>
        </w:rPr>
        <w:t>associated with union commitment are</w:t>
      </w:r>
      <w:r w:rsidRPr="003D5491">
        <w:rPr>
          <w:sz w:val="16"/>
        </w:rPr>
        <w:t xml:space="preserve"> </w:t>
      </w:r>
      <w:r w:rsidRPr="008C5180">
        <w:rPr>
          <w:rStyle w:val="Emphasis"/>
        </w:rPr>
        <w:t>similar</w:t>
      </w:r>
      <w:r w:rsidRPr="003D5491">
        <w:rPr>
          <w:sz w:val="16"/>
        </w:rPr>
        <w:t xml:space="preserve"> </w:t>
      </w:r>
      <w:r w:rsidRPr="008C5180">
        <w:rPr>
          <w:rStyle w:val="StyleUnderline"/>
        </w:rPr>
        <w:t>to those that</w:t>
      </w:r>
      <w:r w:rsidRPr="003D5491">
        <w:rPr>
          <w:sz w:val="16"/>
        </w:rPr>
        <w:t xml:space="preserve"> </w:t>
      </w:r>
      <w:r w:rsidRPr="0001279C">
        <w:rPr>
          <w:rStyle w:val="Emphasis"/>
          <w:highlight w:val="cyan"/>
        </w:rPr>
        <w:t>foster</w:t>
      </w:r>
      <w:r w:rsidRPr="0001279C">
        <w:rPr>
          <w:sz w:val="16"/>
          <w:highlight w:val="cyan"/>
        </w:rPr>
        <w:t xml:space="preserve"> </w:t>
      </w:r>
      <w:r w:rsidRPr="0001279C">
        <w:rPr>
          <w:rStyle w:val="StyleUnderline"/>
          <w:highlight w:val="cyan"/>
        </w:rPr>
        <w:t>PSM</w:t>
      </w:r>
      <w:r w:rsidRPr="003D5491">
        <w:rPr>
          <w:sz w:val="16"/>
        </w:rPr>
        <w:t xml:space="preserve"> (Perry and Hondeghem 2008; Perry and Wise 1990), scholars have yet to specifically emphasize the role that social boundaries play in understanding PSM. This would represent an intriguing question for future research.</w:t>
      </w:r>
    </w:p>
    <w:p w14:paraId="19052C37" w14:textId="77777777" w:rsidR="003B604D" w:rsidRPr="006C0482" w:rsidRDefault="003B604D" w:rsidP="003B604D">
      <w:pPr>
        <w:rPr>
          <w:sz w:val="16"/>
        </w:rPr>
      </w:pPr>
      <w:r w:rsidRPr="003D5491">
        <w:rPr>
          <w:sz w:val="16"/>
        </w:rPr>
        <w:t xml:space="preserve">Because </w:t>
      </w:r>
      <w:r w:rsidRPr="003D5491">
        <w:rPr>
          <w:rStyle w:val="StyleUnderline"/>
        </w:rPr>
        <w:t>the</w:t>
      </w:r>
      <w:r w:rsidRPr="003D5491">
        <w:rPr>
          <w:sz w:val="16"/>
        </w:rPr>
        <w:t xml:space="preserve"> </w:t>
      </w:r>
      <w:r w:rsidRPr="003D5491">
        <w:rPr>
          <w:rStyle w:val="Emphasis"/>
        </w:rPr>
        <w:t>findings</w:t>
      </w:r>
      <w:r w:rsidRPr="003D5491">
        <w:rPr>
          <w:sz w:val="16"/>
        </w:rPr>
        <w:t xml:space="preserve"> presented in this article </w:t>
      </w:r>
      <w:r w:rsidRPr="003D5491">
        <w:rPr>
          <w:rStyle w:val="StyleUnderline"/>
        </w:rPr>
        <w:t>suggest that</w:t>
      </w:r>
      <w:r w:rsidRPr="003D5491">
        <w:rPr>
          <w:sz w:val="16"/>
        </w:rPr>
        <w:t xml:space="preserve"> </w:t>
      </w:r>
      <w:r w:rsidRPr="003D5491">
        <w:rPr>
          <w:rStyle w:val="Emphasis"/>
        </w:rPr>
        <w:t>union</w:t>
      </w:r>
      <w:r w:rsidRPr="003D5491">
        <w:rPr>
          <w:sz w:val="16"/>
        </w:rPr>
        <w:t xml:space="preserve"> member</w:t>
      </w:r>
      <w:r w:rsidRPr="003D5491">
        <w:rPr>
          <w:rStyle w:val="Emphasis"/>
        </w:rPr>
        <w:t>s</w:t>
      </w:r>
      <w:r w:rsidRPr="003D5491">
        <w:rPr>
          <w:sz w:val="16"/>
        </w:rPr>
        <w:t xml:space="preserve">hip </w:t>
      </w:r>
      <w:r w:rsidRPr="003D5491">
        <w:rPr>
          <w:rStyle w:val="StyleUnderline"/>
        </w:rPr>
        <w:t>can</w:t>
      </w:r>
      <w:r w:rsidRPr="003D5491">
        <w:rPr>
          <w:sz w:val="16"/>
        </w:rPr>
        <w:t xml:space="preserve"> </w:t>
      </w:r>
      <w:r w:rsidRPr="003D5491">
        <w:rPr>
          <w:rStyle w:val="Emphasis"/>
        </w:rPr>
        <w:t>increase</w:t>
      </w:r>
      <w:r w:rsidRPr="003D5491">
        <w:rPr>
          <w:sz w:val="16"/>
        </w:rPr>
        <w:t xml:space="preserve"> </w:t>
      </w:r>
      <w:r w:rsidRPr="003D5491">
        <w:rPr>
          <w:rStyle w:val="StyleUnderline"/>
        </w:rPr>
        <w:t>public sector job satisfaction</w:t>
      </w:r>
      <w:r w:rsidRPr="003D5491">
        <w:rPr>
          <w:sz w:val="16"/>
        </w:rPr>
        <w:t xml:space="preserve">, practicing public managers could use this information to frame assumptions to structure bargaining relationships. First, it may not be beneficial for managers and labor leaders to approach collective bargaining with an “us versus them” mentality. In some ways, management and labor may share similar values, such as a preference for service to society, as important work rewards associated with public service. If management and labor can agree on bargaining outcomes that fulfill preferred values, </w:t>
      </w:r>
      <w:r w:rsidRPr="00A75E5E">
        <w:rPr>
          <w:rStyle w:val="StyleUnderline"/>
          <w:highlight w:val="cyan"/>
        </w:rPr>
        <w:t>the</w:t>
      </w:r>
      <w:r w:rsidRPr="00A75E5E">
        <w:rPr>
          <w:sz w:val="16"/>
          <w:highlight w:val="cyan"/>
        </w:rPr>
        <w:t xml:space="preserve"> </w:t>
      </w:r>
      <w:r w:rsidRPr="00A75E5E">
        <w:rPr>
          <w:rStyle w:val="Emphasis"/>
          <w:highlight w:val="cyan"/>
        </w:rPr>
        <w:t>bargaining process</w:t>
      </w:r>
      <w:r w:rsidRPr="00A75E5E">
        <w:rPr>
          <w:sz w:val="16"/>
        </w:rPr>
        <w:t xml:space="preserve"> </w:t>
      </w:r>
      <w:r w:rsidRPr="00A75E5E">
        <w:rPr>
          <w:rStyle w:val="StyleUnderline"/>
        </w:rPr>
        <w:t>could contribute to</w:t>
      </w:r>
      <w:r w:rsidRPr="00A75E5E">
        <w:rPr>
          <w:sz w:val="16"/>
        </w:rPr>
        <w:t xml:space="preserve"> </w:t>
      </w:r>
      <w:r w:rsidRPr="00A75E5E">
        <w:rPr>
          <w:rStyle w:val="Emphasis"/>
        </w:rPr>
        <w:t>higher</w:t>
      </w:r>
      <w:r w:rsidRPr="00A75E5E">
        <w:rPr>
          <w:sz w:val="16"/>
        </w:rPr>
        <w:t xml:space="preserve"> </w:t>
      </w:r>
      <w:r w:rsidRPr="00A75E5E">
        <w:rPr>
          <w:rStyle w:val="StyleUnderline"/>
        </w:rPr>
        <w:t>performing</w:t>
      </w:r>
      <w:r w:rsidRPr="00A75E5E">
        <w:rPr>
          <w:sz w:val="16"/>
        </w:rPr>
        <w:t xml:space="preserve"> public </w:t>
      </w:r>
      <w:r w:rsidRPr="00A75E5E">
        <w:rPr>
          <w:rStyle w:val="StyleUnderline"/>
        </w:rPr>
        <w:t>agencies</w:t>
      </w:r>
      <w:r w:rsidRPr="003D5491">
        <w:rPr>
          <w:sz w:val="16"/>
        </w:rPr>
        <w:t>. Second, as Kearney and Hays suggest, “</w:t>
      </w:r>
      <w:r w:rsidRPr="00A75E5E">
        <w:rPr>
          <w:rStyle w:val="Emphasis"/>
        </w:rPr>
        <w:t>participative</w:t>
      </w:r>
      <w:r w:rsidRPr="00A75E5E">
        <w:rPr>
          <w:sz w:val="16"/>
        </w:rPr>
        <w:t xml:space="preserve"> </w:t>
      </w:r>
      <w:r w:rsidRPr="00A75E5E">
        <w:rPr>
          <w:rStyle w:val="StyleUnderline"/>
        </w:rPr>
        <w:t xml:space="preserve">decision making </w:t>
      </w:r>
      <w:r w:rsidRPr="00A75E5E">
        <w:rPr>
          <w:rStyle w:val="StyleUnderline"/>
          <w:highlight w:val="cyan"/>
        </w:rPr>
        <w:t>provides</w:t>
      </w:r>
      <w:r w:rsidRPr="0001279C">
        <w:rPr>
          <w:sz w:val="16"/>
        </w:rPr>
        <w:t xml:space="preserve"> </w:t>
      </w:r>
      <w:r w:rsidRPr="0001279C">
        <w:rPr>
          <w:rStyle w:val="Emphasis"/>
        </w:rPr>
        <w:t xml:space="preserve">personal </w:t>
      </w:r>
      <w:r w:rsidRPr="00A75E5E">
        <w:rPr>
          <w:rStyle w:val="Emphasis"/>
          <w:highlight w:val="cyan"/>
        </w:rPr>
        <w:t>benefits</w:t>
      </w:r>
      <w:r w:rsidRPr="00A75E5E">
        <w:rPr>
          <w:sz w:val="16"/>
          <w:highlight w:val="cyan"/>
        </w:rPr>
        <w:t xml:space="preserve"> </w:t>
      </w:r>
      <w:r w:rsidRPr="00A75E5E">
        <w:rPr>
          <w:rStyle w:val="StyleUnderline"/>
          <w:highlight w:val="cyan"/>
        </w:rPr>
        <w:t>to the</w:t>
      </w:r>
      <w:r w:rsidRPr="003D5491">
        <w:rPr>
          <w:rStyle w:val="StyleUnderline"/>
        </w:rPr>
        <w:t xml:space="preserve"> individual </w:t>
      </w:r>
      <w:r w:rsidRPr="00A75E5E">
        <w:rPr>
          <w:rStyle w:val="StyleUnderline"/>
          <w:highlight w:val="cyan"/>
        </w:rPr>
        <w:t>employee</w:t>
      </w:r>
      <w:r w:rsidRPr="003D5491">
        <w:rPr>
          <w:sz w:val="16"/>
        </w:rPr>
        <w:t xml:space="preserve"> as well as desired organizational outcomes” (1994, 44). Given this conclusion, </w:t>
      </w:r>
      <w:r w:rsidRPr="003D5491">
        <w:rPr>
          <w:rStyle w:val="StyleUnderline"/>
        </w:rPr>
        <w:t xml:space="preserve">union </w:t>
      </w:r>
      <w:r w:rsidRPr="00E41A97">
        <w:rPr>
          <w:rStyle w:val="StyleUnderline"/>
        </w:rPr>
        <w:t>members</w:t>
      </w:r>
      <w:r w:rsidRPr="003D5491">
        <w:rPr>
          <w:sz w:val="16"/>
        </w:rPr>
        <w:t xml:space="preserve"> may </w:t>
      </w:r>
      <w:r w:rsidRPr="003D5491">
        <w:rPr>
          <w:rStyle w:val="Emphasis"/>
        </w:rPr>
        <w:t>perceive</w:t>
      </w:r>
      <w:r w:rsidRPr="003D5491">
        <w:rPr>
          <w:sz w:val="16"/>
        </w:rPr>
        <w:t xml:space="preserve"> </w:t>
      </w:r>
      <w:r w:rsidRPr="003D5491">
        <w:rPr>
          <w:rStyle w:val="StyleUnderline"/>
        </w:rPr>
        <w:t>lower levels of red tape</w:t>
      </w:r>
      <w:r w:rsidRPr="003D5491">
        <w:rPr>
          <w:sz w:val="16"/>
        </w:rPr>
        <w:t xml:space="preserve"> partially </w:t>
      </w:r>
      <w:r w:rsidRPr="00F4351F">
        <w:rPr>
          <w:rStyle w:val="Emphasis"/>
          <w:highlight w:val="cyan"/>
        </w:rPr>
        <w:t>because</w:t>
      </w:r>
      <w:r w:rsidRPr="00F4351F">
        <w:rPr>
          <w:sz w:val="16"/>
          <w:highlight w:val="cyan"/>
        </w:rPr>
        <w:t xml:space="preserve"> </w:t>
      </w:r>
      <w:r w:rsidRPr="00F4351F">
        <w:rPr>
          <w:rStyle w:val="StyleUnderline"/>
          <w:highlight w:val="cyan"/>
        </w:rPr>
        <w:t>they</w:t>
      </w:r>
      <w:r w:rsidRPr="003D5491">
        <w:rPr>
          <w:sz w:val="16"/>
        </w:rPr>
        <w:t xml:space="preserve"> are afforded the opportunity to </w:t>
      </w:r>
      <w:r w:rsidRPr="0001279C">
        <w:rPr>
          <w:rStyle w:val="Emphasis"/>
          <w:highlight w:val="cyan"/>
        </w:rPr>
        <w:t>participate</w:t>
      </w:r>
      <w:r w:rsidRPr="0001279C">
        <w:rPr>
          <w:sz w:val="16"/>
          <w:highlight w:val="cyan"/>
        </w:rPr>
        <w:t xml:space="preserve"> </w:t>
      </w:r>
      <w:r w:rsidRPr="0001279C">
        <w:rPr>
          <w:rStyle w:val="StyleUnderline"/>
          <w:highlight w:val="cyan"/>
        </w:rPr>
        <w:t>in rule creation</w:t>
      </w:r>
      <w:r w:rsidRPr="003D5491">
        <w:rPr>
          <w:rStyle w:val="StyleUnderline"/>
        </w:rPr>
        <w:t xml:space="preserve"> through the</w:t>
      </w:r>
      <w:r w:rsidRPr="003D5491">
        <w:rPr>
          <w:sz w:val="16"/>
        </w:rPr>
        <w:t xml:space="preserve"> </w:t>
      </w:r>
      <w:r w:rsidRPr="003D5491">
        <w:rPr>
          <w:rStyle w:val="Emphasis"/>
        </w:rPr>
        <w:t>collective bargaining process</w:t>
      </w:r>
      <w:r w:rsidRPr="003D5491">
        <w:rPr>
          <w:sz w:val="16"/>
        </w:rPr>
        <w:t>. If labor and management can approach the bargaining process as a participative forum in which to address workplace issues, positive individual and organizational outcomes become more likely.</w:t>
      </w:r>
    </w:p>
    <w:p w14:paraId="44AC095B"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7A483" w14:textId="77777777" w:rsidR="006A3A5D" w:rsidRDefault="006A3A5D" w:rsidP="00066D2C">
      <w:pPr>
        <w:spacing w:after="0" w:line="240" w:lineRule="auto"/>
      </w:pPr>
      <w:r>
        <w:separator/>
      </w:r>
    </w:p>
  </w:endnote>
  <w:endnote w:type="continuationSeparator" w:id="0">
    <w:p w14:paraId="02660D50" w14:textId="77777777" w:rsidR="006A3A5D" w:rsidRDefault="006A3A5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64D1C" w14:textId="77777777" w:rsidR="006A3A5D" w:rsidRDefault="006A3A5D" w:rsidP="00066D2C">
      <w:pPr>
        <w:spacing w:after="0" w:line="240" w:lineRule="auto"/>
      </w:pPr>
      <w:r>
        <w:separator/>
      </w:r>
    </w:p>
  </w:footnote>
  <w:footnote w:type="continuationSeparator" w:id="0">
    <w:p w14:paraId="06E8EF5F" w14:textId="77777777" w:rsidR="006A3A5D" w:rsidRDefault="006A3A5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3B604D"/>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604D"/>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3A5D"/>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1CF6"/>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38A68"/>
  <w15:chartTrackingRefBased/>
  <w15:docId w15:val="{BA198424-BF7A-4F06-A3C4-BB1E61E3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B604D"/>
    <w:rPr>
      <w:rFonts w:ascii="Calibri" w:hAnsi="Calibri" w:cs="Calibri"/>
    </w:rPr>
  </w:style>
  <w:style w:type="paragraph" w:styleId="Heading1">
    <w:name w:val="heading 1"/>
    <w:aliases w:val="Pocket"/>
    <w:basedOn w:val="Normal"/>
    <w:next w:val="Normal"/>
    <w:link w:val="Heading1Char"/>
    <w:qFormat/>
    <w:rsid w:val="003B60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B60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B60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3B604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B604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B60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04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B60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B604D"/>
    <w:rPr>
      <w:color w:val="auto"/>
      <w:u w:val="none"/>
    </w:rPr>
  </w:style>
  <w:style w:type="character" w:customStyle="1" w:styleId="Heading1Char">
    <w:name w:val="Heading 1 Char"/>
    <w:aliases w:val="Pocket Char"/>
    <w:basedOn w:val="DefaultParagraphFont"/>
    <w:link w:val="Heading1"/>
    <w:rsid w:val="003B60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60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604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3B604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3B604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3B604D"/>
    <w:rPr>
      <w:b w:val="0"/>
      <w:sz w:val="22"/>
      <w:u w:val="single"/>
    </w:rPr>
  </w:style>
  <w:style w:type="character" w:styleId="Strong">
    <w:name w:val="Strong"/>
    <w:basedOn w:val="DefaultParagraphFont"/>
    <w:uiPriority w:val="22"/>
    <w:semiHidden/>
    <w:qFormat/>
    <w:rsid w:val="003B604D"/>
    <w:rPr>
      <w:b/>
      <w:bCs/>
    </w:rPr>
  </w:style>
  <w:style w:type="character" w:styleId="BookTitle">
    <w:name w:val="Book Title"/>
    <w:basedOn w:val="DefaultParagraphFont"/>
    <w:uiPriority w:val="33"/>
    <w:semiHidden/>
    <w:qFormat/>
    <w:rsid w:val="003B604D"/>
    <w:rPr>
      <w:b/>
      <w:bCs/>
      <w:i/>
      <w:iCs/>
      <w:spacing w:val="5"/>
    </w:rPr>
  </w:style>
  <w:style w:type="character" w:customStyle="1" w:styleId="Heading5Char">
    <w:name w:val="Heading 5 Char"/>
    <w:basedOn w:val="DefaultParagraphFont"/>
    <w:link w:val="Heading5"/>
    <w:uiPriority w:val="9"/>
    <w:semiHidden/>
    <w:rsid w:val="003B604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B604D"/>
  </w:style>
  <w:style w:type="paragraph" w:styleId="Header">
    <w:name w:val="header"/>
    <w:basedOn w:val="Normal"/>
    <w:link w:val="HeaderChar"/>
    <w:uiPriority w:val="99"/>
    <w:semiHidden/>
    <w:rsid w:val="003B60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604D"/>
    <w:rPr>
      <w:rFonts w:ascii="Calibri" w:hAnsi="Calibri" w:cs="Calibri"/>
    </w:rPr>
  </w:style>
  <w:style w:type="paragraph" w:styleId="Footer">
    <w:name w:val="footer"/>
    <w:basedOn w:val="Normal"/>
    <w:link w:val="FooterChar"/>
    <w:uiPriority w:val="99"/>
    <w:semiHidden/>
    <w:rsid w:val="003B60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604D"/>
    <w:rPr>
      <w:rFonts w:ascii="Calibri" w:hAnsi="Calibri" w:cs="Calibri"/>
    </w:rPr>
  </w:style>
  <w:style w:type="paragraph" w:styleId="BodyText">
    <w:name w:val="Body Text"/>
    <w:basedOn w:val="Normal"/>
    <w:link w:val="BodyTextChar"/>
    <w:uiPriority w:val="99"/>
    <w:semiHidden/>
    <w:unhideWhenUsed/>
    <w:rsid w:val="003B604D"/>
    <w:pPr>
      <w:spacing w:after="120"/>
    </w:pPr>
  </w:style>
  <w:style w:type="character" w:customStyle="1" w:styleId="BodyTextChar">
    <w:name w:val="Body Text Char"/>
    <w:basedOn w:val="DefaultParagraphFont"/>
    <w:link w:val="BodyText"/>
    <w:uiPriority w:val="99"/>
    <w:semiHidden/>
    <w:rsid w:val="003B604D"/>
    <w:rPr>
      <w:rFonts w:ascii="Calibri" w:hAnsi="Calibri" w:cs="Calibri"/>
    </w:rPr>
  </w:style>
  <w:style w:type="paragraph" w:styleId="NoSpacing">
    <w:name w:val="No Spacing"/>
    <w:link w:val="NoSpacingChar"/>
    <w:uiPriority w:val="99"/>
    <w:semiHidden/>
    <w:unhideWhenUsed/>
    <w:qFormat/>
    <w:rsid w:val="003B604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B604D"/>
    <w:rPr>
      <w:rFonts w:ascii="Calibri" w:hAnsi="Calibri" w:cs="Calibri"/>
    </w:rPr>
  </w:style>
  <w:style w:type="character" w:styleId="Hyperlink">
    <w:name w:val="Hyperlink"/>
    <w:basedOn w:val="DefaultParagraphFont"/>
    <w:uiPriority w:val="99"/>
    <w:unhideWhenUsed/>
    <w:rsid w:val="003B604D"/>
    <w:rPr>
      <w:color w:val="0563C1" w:themeColor="hyperlink"/>
      <w:u w:val="single"/>
    </w:rPr>
  </w:style>
  <w:style w:type="character" w:styleId="UnresolvedMention">
    <w:name w:val="Unresolved Mention"/>
    <w:basedOn w:val="DefaultParagraphFont"/>
    <w:uiPriority w:val="99"/>
    <w:semiHidden/>
    <w:unhideWhenUsed/>
    <w:rsid w:val="003B604D"/>
    <w:rPr>
      <w:color w:val="605E5C"/>
      <w:shd w:val="clear" w:color="auto" w:fill="E1DFDD"/>
    </w:rPr>
  </w:style>
  <w:style w:type="paragraph" w:customStyle="1" w:styleId="Analytics">
    <w:name w:val="Analytics"/>
    <w:basedOn w:val="Heading4"/>
    <w:link w:val="AnalyticsChar"/>
    <w:uiPriority w:val="5"/>
    <w:qFormat/>
    <w:rsid w:val="003B604D"/>
    <w:rPr>
      <w:color w:val="000000" w:themeColor="text1"/>
    </w:rPr>
  </w:style>
  <w:style w:type="character" w:customStyle="1" w:styleId="AnalyticsChar">
    <w:name w:val="Analytics Char"/>
    <w:basedOn w:val="DefaultParagraphFont"/>
    <w:link w:val="Analytics"/>
    <w:uiPriority w:val="5"/>
    <w:rsid w:val="003B604D"/>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3B604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803</Words>
  <Characters>4457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2026-01-17T19:35:00Z</dcterms:created>
  <dcterms:modified xsi:type="dcterms:W3CDTF">2026-01-17T19:35:00Z</dcterms:modified>
</cp:coreProperties>
</file>